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CB" w:rsidRDefault="00E72FCB">
      <w:pPr>
        <w:pStyle w:val="Normal1"/>
        <w:widowControl w:val="0"/>
        <w:pBdr>
          <w:top w:val="nil"/>
          <w:left w:val="nil"/>
          <w:bottom w:val="nil"/>
          <w:right w:val="nil"/>
          <w:between w:val="nil"/>
        </w:pBdr>
        <w:spacing w:line="276" w:lineRule="auto"/>
        <w:rPr>
          <w:color w:val="000000"/>
          <w:sz w:val="22"/>
          <w:szCs w:val="22"/>
        </w:rPr>
      </w:pPr>
      <w:bookmarkStart w:id="0" w:name="_GoBack"/>
      <w:bookmarkEnd w:id="0"/>
    </w:p>
    <w:tbl>
      <w:tblPr>
        <w:tblStyle w:val="a"/>
        <w:tblW w:w="15926"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7"/>
        <w:gridCol w:w="1279"/>
        <w:gridCol w:w="425"/>
        <w:gridCol w:w="426"/>
        <w:gridCol w:w="480"/>
        <w:gridCol w:w="5895"/>
        <w:gridCol w:w="426"/>
        <w:gridCol w:w="425"/>
        <w:gridCol w:w="425"/>
        <w:gridCol w:w="3544"/>
        <w:gridCol w:w="1134"/>
      </w:tblGrid>
      <w:tr w:rsidR="00E72FCB">
        <w:trPr>
          <w:trHeight w:val="529"/>
        </w:trPr>
        <w:tc>
          <w:tcPr>
            <w:tcW w:w="4077" w:type="dxa"/>
            <w:gridSpan w:val="5"/>
            <w:shd w:val="clear" w:color="auto" w:fill="FFFFFF"/>
            <w:vAlign w:val="center"/>
          </w:tcPr>
          <w:p w:rsidR="00E72FCB" w:rsidRDefault="00230AA5">
            <w:pPr>
              <w:pStyle w:val="Normal1"/>
              <w:rPr>
                <w:rFonts w:ascii="Calibri" w:eastAsia="Calibri" w:hAnsi="Calibri" w:cs="Calibri"/>
              </w:rPr>
            </w:pPr>
            <w:r>
              <w:rPr>
                <w:rFonts w:ascii="Calibri" w:eastAsia="Calibri" w:hAnsi="Calibri" w:cs="Calibri"/>
                <w:b/>
              </w:rPr>
              <w:t>Company Name:</w:t>
            </w:r>
            <w:r>
              <w:rPr>
                <w:rFonts w:ascii="Calibri" w:eastAsia="Calibri" w:hAnsi="Calibri" w:cs="Calibri"/>
              </w:rPr>
              <w:t xml:space="preserve"> </w:t>
            </w:r>
            <w:proofErr w:type="spellStart"/>
            <w:r w:rsidR="00AA4D24">
              <w:rPr>
                <w:rFonts w:ascii="Calibri" w:eastAsia="Calibri" w:hAnsi="Calibri" w:cs="Calibri"/>
              </w:rPr>
              <w:t>Allscott</w:t>
            </w:r>
            <w:proofErr w:type="spellEnd"/>
            <w:r w:rsidR="00AA4D24">
              <w:rPr>
                <w:rFonts w:ascii="Calibri" w:eastAsia="Calibri" w:hAnsi="Calibri" w:cs="Calibri"/>
              </w:rPr>
              <w:t xml:space="preserve"> Heath Sports and Social Club</w:t>
            </w:r>
          </w:p>
        </w:tc>
        <w:tc>
          <w:tcPr>
            <w:tcW w:w="5895" w:type="dxa"/>
            <w:shd w:val="clear" w:color="auto" w:fill="FFFFFF"/>
            <w:vAlign w:val="center"/>
          </w:tcPr>
          <w:p w:rsidR="00E72FCB" w:rsidRDefault="00230AA5" w:rsidP="00AA4D24">
            <w:pPr>
              <w:pStyle w:val="Normal1"/>
              <w:rPr>
                <w:rFonts w:ascii="Calibri" w:eastAsia="Calibri" w:hAnsi="Calibri" w:cs="Calibri"/>
              </w:rPr>
            </w:pPr>
            <w:r>
              <w:rPr>
                <w:rFonts w:ascii="Calibri" w:eastAsia="Calibri" w:hAnsi="Calibri" w:cs="Calibri"/>
                <w:b/>
              </w:rPr>
              <w:t>Work Area:</w:t>
            </w:r>
            <w:r>
              <w:rPr>
                <w:rFonts w:ascii="Calibri" w:eastAsia="Calibri" w:hAnsi="Calibri" w:cs="Calibri"/>
              </w:rPr>
              <w:t xml:space="preserve">  </w:t>
            </w:r>
            <w:r w:rsidR="00AA4D24">
              <w:rPr>
                <w:rFonts w:ascii="Calibri" w:eastAsia="Calibri" w:hAnsi="Calibri" w:cs="Calibri"/>
              </w:rPr>
              <w:t>Whole Club including internal (bar and lounge) and external areas</w:t>
            </w:r>
            <w:r>
              <w:rPr>
                <w:rFonts w:ascii="Calibri" w:eastAsia="Calibri" w:hAnsi="Calibri" w:cs="Calibri"/>
              </w:rPr>
              <w:t xml:space="preserve"> </w:t>
            </w:r>
          </w:p>
        </w:tc>
        <w:tc>
          <w:tcPr>
            <w:tcW w:w="4820" w:type="dxa"/>
            <w:gridSpan w:val="4"/>
            <w:shd w:val="clear" w:color="auto" w:fill="FFFFFF"/>
            <w:vAlign w:val="center"/>
          </w:tcPr>
          <w:p w:rsidR="00E72FCB" w:rsidRDefault="00230AA5" w:rsidP="00AA4D24">
            <w:pPr>
              <w:pStyle w:val="Normal1"/>
              <w:rPr>
                <w:rFonts w:ascii="Calibri" w:eastAsia="Calibri" w:hAnsi="Calibri" w:cs="Calibri"/>
              </w:rPr>
            </w:pPr>
            <w:r>
              <w:rPr>
                <w:rFonts w:ascii="Calibri" w:eastAsia="Calibri" w:hAnsi="Calibri" w:cs="Calibri"/>
                <w:b/>
              </w:rPr>
              <w:t>Activity/Machine/Area:</w:t>
            </w:r>
            <w:r>
              <w:rPr>
                <w:rFonts w:ascii="Calibri" w:eastAsia="Calibri" w:hAnsi="Calibri" w:cs="Calibri"/>
                <w:b/>
                <w:color w:val="FF0000"/>
              </w:rPr>
              <w:t xml:space="preserve">  </w:t>
            </w:r>
            <w:r w:rsidR="00AA4D24">
              <w:rPr>
                <w:rFonts w:ascii="Calibri" w:eastAsia="Calibri" w:hAnsi="Calibri" w:cs="Calibri"/>
              </w:rPr>
              <w:t>Serving drinks and alcohol and socialising</w:t>
            </w:r>
          </w:p>
        </w:tc>
        <w:tc>
          <w:tcPr>
            <w:tcW w:w="1134" w:type="dxa"/>
            <w:shd w:val="clear" w:color="auto" w:fill="FFFFFF"/>
          </w:tcPr>
          <w:p w:rsidR="00E72FCB" w:rsidRDefault="00230AA5">
            <w:pPr>
              <w:pStyle w:val="Normal1"/>
              <w:rPr>
                <w:rFonts w:ascii="Calibri" w:eastAsia="Calibri" w:hAnsi="Calibri" w:cs="Calibri"/>
                <w:b/>
              </w:rPr>
            </w:pPr>
            <w:r>
              <w:rPr>
                <w:rFonts w:ascii="Calibri" w:eastAsia="Calibri" w:hAnsi="Calibri" w:cs="Calibri"/>
                <w:b/>
              </w:rPr>
              <w:t xml:space="preserve">RA No: </w:t>
            </w:r>
          </w:p>
          <w:p w:rsidR="00E72FCB" w:rsidRDefault="00AA4D24" w:rsidP="00A80E27">
            <w:pPr>
              <w:pStyle w:val="Normal1"/>
              <w:rPr>
                <w:rFonts w:ascii="Calibri" w:eastAsia="Calibri" w:hAnsi="Calibri" w:cs="Calibri"/>
              </w:rPr>
            </w:pPr>
            <w:r>
              <w:rPr>
                <w:rFonts w:ascii="Calibri" w:eastAsia="Calibri" w:hAnsi="Calibri" w:cs="Calibri"/>
              </w:rPr>
              <w:t>COVID-01</w:t>
            </w:r>
          </w:p>
        </w:tc>
      </w:tr>
      <w:tr w:rsidR="00E72FCB">
        <w:trPr>
          <w:trHeight w:val="484"/>
        </w:trPr>
        <w:tc>
          <w:tcPr>
            <w:tcW w:w="2746" w:type="dxa"/>
            <w:gridSpan w:val="2"/>
            <w:shd w:val="clear" w:color="auto" w:fill="C0C0C0"/>
            <w:vAlign w:val="center"/>
          </w:tcPr>
          <w:p w:rsidR="00E72FCB" w:rsidRDefault="00230AA5">
            <w:pPr>
              <w:pStyle w:val="Normal1"/>
              <w:rPr>
                <w:rFonts w:ascii="Calibri" w:eastAsia="Calibri" w:hAnsi="Calibri" w:cs="Calibri"/>
                <w:b/>
              </w:rPr>
            </w:pPr>
            <w:r>
              <w:rPr>
                <w:rFonts w:ascii="Calibri" w:eastAsia="Calibri" w:hAnsi="Calibri" w:cs="Calibri"/>
                <w:b/>
              </w:rPr>
              <w:t>Hazards &amp; People Exposed</w:t>
            </w:r>
          </w:p>
        </w:tc>
        <w:tc>
          <w:tcPr>
            <w:tcW w:w="1331" w:type="dxa"/>
            <w:gridSpan w:val="3"/>
            <w:shd w:val="clear" w:color="auto" w:fill="C0C0C0"/>
            <w:vAlign w:val="center"/>
          </w:tcPr>
          <w:p w:rsidR="00E72FCB" w:rsidRPr="00AA4D24" w:rsidRDefault="00230AA5" w:rsidP="00AA4D24">
            <w:pPr>
              <w:pStyle w:val="Normal1"/>
              <w:jc w:val="center"/>
              <w:rPr>
                <w:rFonts w:ascii="Calibri" w:eastAsia="Calibri" w:hAnsi="Calibri" w:cs="Calibri"/>
                <w:b/>
              </w:rPr>
            </w:pPr>
            <w:r w:rsidRPr="00AA4D24">
              <w:rPr>
                <w:rFonts w:ascii="Calibri" w:eastAsia="Calibri" w:hAnsi="Calibri" w:cs="Calibri"/>
                <w:b/>
              </w:rPr>
              <w:t>Risk</w:t>
            </w:r>
          </w:p>
        </w:tc>
        <w:tc>
          <w:tcPr>
            <w:tcW w:w="5895" w:type="dxa"/>
            <w:vMerge w:val="restart"/>
            <w:shd w:val="clear" w:color="auto" w:fill="C0C0C0"/>
            <w:vAlign w:val="center"/>
          </w:tcPr>
          <w:p w:rsidR="00E72FCB" w:rsidRDefault="00230AA5">
            <w:pPr>
              <w:pStyle w:val="Normal1"/>
              <w:rPr>
                <w:rFonts w:ascii="Calibri" w:eastAsia="Calibri" w:hAnsi="Calibri" w:cs="Calibri"/>
                <w:b/>
              </w:rPr>
            </w:pPr>
            <w:r>
              <w:rPr>
                <w:rFonts w:ascii="Calibri" w:eastAsia="Calibri" w:hAnsi="Calibri" w:cs="Calibri"/>
                <w:b/>
              </w:rPr>
              <w:t>Current Controls</w:t>
            </w:r>
          </w:p>
          <w:p w:rsidR="00E72FCB" w:rsidRDefault="00230AA5">
            <w:pPr>
              <w:pStyle w:val="Normal1"/>
              <w:rPr>
                <w:rFonts w:ascii="Calibri" w:eastAsia="Calibri" w:hAnsi="Calibri" w:cs="Calibri"/>
              </w:rPr>
            </w:pPr>
            <w:r>
              <w:rPr>
                <w:rFonts w:ascii="Calibri" w:eastAsia="Calibri" w:hAnsi="Calibri" w:cs="Calibri"/>
                <w:b/>
              </w:rPr>
              <w:t>(measures already in place)</w:t>
            </w:r>
          </w:p>
        </w:tc>
        <w:tc>
          <w:tcPr>
            <w:tcW w:w="1276" w:type="dxa"/>
            <w:gridSpan w:val="3"/>
            <w:shd w:val="clear" w:color="auto" w:fill="C0C0C0"/>
            <w:vAlign w:val="center"/>
          </w:tcPr>
          <w:p w:rsidR="00E72FCB" w:rsidRPr="00AA4D24" w:rsidRDefault="00230AA5" w:rsidP="00AA4D24">
            <w:pPr>
              <w:pStyle w:val="Normal1"/>
              <w:jc w:val="center"/>
              <w:rPr>
                <w:rFonts w:ascii="Calibri" w:eastAsia="Calibri" w:hAnsi="Calibri" w:cs="Calibri"/>
                <w:b/>
              </w:rPr>
            </w:pPr>
            <w:r w:rsidRPr="00AA4D24">
              <w:rPr>
                <w:rFonts w:ascii="Calibri" w:eastAsia="Calibri" w:hAnsi="Calibri" w:cs="Calibri"/>
                <w:b/>
              </w:rPr>
              <w:t>Residual Risk</w:t>
            </w:r>
          </w:p>
        </w:tc>
        <w:tc>
          <w:tcPr>
            <w:tcW w:w="3544" w:type="dxa"/>
            <w:vMerge w:val="restart"/>
            <w:shd w:val="clear" w:color="auto" w:fill="C0C0C0"/>
            <w:vAlign w:val="center"/>
          </w:tcPr>
          <w:p w:rsidR="00E72FCB" w:rsidRDefault="00230AA5">
            <w:pPr>
              <w:pStyle w:val="Normal1"/>
              <w:rPr>
                <w:rFonts w:ascii="Calibri" w:eastAsia="Calibri" w:hAnsi="Calibri" w:cs="Calibri"/>
                <w:b/>
              </w:rPr>
            </w:pPr>
            <w:r>
              <w:rPr>
                <w:rFonts w:ascii="Calibri" w:eastAsia="Calibri" w:hAnsi="Calibri" w:cs="Calibri"/>
                <w:b/>
              </w:rPr>
              <w:t>Future Controls</w:t>
            </w:r>
          </w:p>
          <w:p w:rsidR="00E72FCB" w:rsidRDefault="00230AA5">
            <w:pPr>
              <w:pStyle w:val="Normal1"/>
              <w:rPr>
                <w:rFonts w:ascii="Calibri" w:eastAsia="Calibri" w:hAnsi="Calibri" w:cs="Calibri"/>
              </w:rPr>
            </w:pPr>
            <w:r>
              <w:rPr>
                <w:rFonts w:ascii="Calibri" w:eastAsia="Calibri" w:hAnsi="Calibri" w:cs="Calibri"/>
                <w:b/>
              </w:rPr>
              <w:t>(things to be considered)</w:t>
            </w:r>
          </w:p>
        </w:tc>
        <w:tc>
          <w:tcPr>
            <w:tcW w:w="1134" w:type="dxa"/>
            <w:vMerge w:val="restart"/>
            <w:shd w:val="clear" w:color="auto" w:fill="C0C0C0"/>
          </w:tcPr>
          <w:p w:rsidR="00E72FCB" w:rsidRDefault="00230AA5">
            <w:pPr>
              <w:pStyle w:val="Normal1"/>
              <w:ind w:left="113" w:right="113"/>
              <w:rPr>
                <w:rFonts w:ascii="Calibri" w:eastAsia="Calibri" w:hAnsi="Calibri" w:cs="Calibri"/>
                <w:b/>
              </w:rPr>
            </w:pPr>
            <w:r>
              <w:rPr>
                <w:rFonts w:ascii="Calibri" w:eastAsia="Calibri" w:hAnsi="Calibri" w:cs="Calibri"/>
                <w:b/>
              </w:rPr>
              <w:t>Transferred to Action Plan Yes/No</w:t>
            </w:r>
          </w:p>
        </w:tc>
      </w:tr>
      <w:tr w:rsidR="00E72FCB">
        <w:trPr>
          <w:trHeight w:val="924"/>
        </w:trPr>
        <w:tc>
          <w:tcPr>
            <w:tcW w:w="1467" w:type="dxa"/>
            <w:tcBorders>
              <w:right w:val="nil"/>
            </w:tcBorders>
          </w:tcPr>
          <w:p w:rsidR="00E72FCB" w:rsidRDefault="00AA4D24">
            <w:pPr>
              <w:pStyle w:val="Normal1"/>
              <w:rPr>
                <w:rFonts w:ascii="Calibri" w:eastAsia="Calibri" w:hAnsi="Calibri" w:cs="Calibri"/>
                <w:sz w:val="18"/>
                <w:szCs w:val="18"/>
              </w:rPr>
            </w:pPr>
            <w:r>
              <w:rPr>
                <w:rFonts w:ascii="Calibri" w:eastAsia="Calibri" w:hAnsi="Calibri" w:cs="Calibri"/>
                <w:sz w:val="18"/>
                <w:szCs w:val="18"/>
              </w:rPr>
              <w:t>Bar staff and club members</w:t>
            </w:r>
          </w:p>
          <w:p w:rsidR="00E72FCB" w:rsidRDefault="00E72FCB">
            <w:pPr>
              <w:pStyle w:val="Normal1"/>
              <w:rPr>
                <w:rFonts w:ascii="Calibri" w:eastAsia="Calibri" w:hAnsi="Calibri" w:cs="Calibri"/>
                <w:sz w:val="18"/>
                <w:szCs w:val="18"/>
              </w:rPr>
            </w:pPr>
          </w:p>
          <w:p w:rsidR="00E72FCB" w:rsidRDefault="00E72FCB">
            <w:pPr>
              <w:pStyle w:val="Normal1"/>
              <w:rPr>
                <w:rFonts w:ascii="Calibri" w:eastAsia="Calibri" w:hAnsi="Calibri" w:cs="Calibri"/>
                <w:sz w:val="18"/>
                <w:szCs w:val="18"/>
              </w:rPr>
            </w:pPr>
          </w:p>
          <w:p w:rsidR="00E72FCB" w:rsidRDefault="00E72FCB">
            <w:pPr>
              <w:pStyle w:val="Normal1"/>
              <w:rPr>
                <w:rFonts w:ascii="Calibri" w:eastAsia="Calibri" w:hAnsi="Calibri" w:cs="Calibri"/>
                <w:sz w:val="18"/>
                <w:szCs w:val="18"/>
              </w:rPr>
            </w:pPr>
          </w:p>
        </w:tc>
        <w:tc>
          <w:tcPr>
            <w:tcW w:w="1279" w:type="dxa"/>
            <w:tcBorders>
              <w:left w:val="nil"/>
            </w:tcBorders>
          </w:tcPr>
          <w:p w:rsidR="00E72FCB" w:rsidRDefault="00E72FCB">
            <w:pPr>
              <w:pStyle w:val="Normal1"/>
              <w:tabs>
                <w:tab w:val="left" w:pos="0"/>
              </w:tabs>
              <w:ind w:right="-106"/>
              <w:rPr>
                <w:rFonts w:ascii="Calibri" w:eastAsia="Calibri" w:hAnsi="Calibri" w:cs="Calibri"/>
                <w:sz w:val="18"/>
                <w:szCs w:val="18"/>
              </w:rPr>
            </w:pPr>
          </w:p>
        </w:tc>
        <w:tc>
          <w:tcPr>
            <w:tcW w:w="425"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Severity</w:t>
            </w:r>
          </w:p>
        </w:tc>
        <w:tc>
          <w:tcPr>
            <w:tcW w:w="426"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Likelihood</w:t>
            </w:r>
          </w:p>
        </w:tc>
        <w:tc>
          <w:tcPr>
            <w:tcW w:w="480"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Total Risk</w:t>
            </w:r>
          </w:p>
        </w:tc>
        <w:tc>
          <w:tcPr>
            <w:tcW w:w="5895" w:type="dxa"/>
            <w:vMerge/>
            <w:shd w:val="clear" w:color="auto" w:fill="C0C0C0"/>
            <w:vAlign w:val="center"/>
          </w:tcPr>
          <w:p w:rsidR="00E72FCB" w:rsidRDefault="00E72FCB">
            <w:pPr>
              <w:pStyle w:val="Normal1"/>
              <w:widowControl w:val="0"/>
              <w:pBdr>
                <w:top w:val="nil"/>
                <w:left w:val="nil"/>
                <w:bottom w:val="nil"/>
                <w:right w:val="nil"/>
                <w:between w:val="nil"/>
              </w:pBdr>
              <w:spacing w:line="276" w:lineRule="auto"/>
              <w:rPr>
                <w:rFonts w:ascii="Calibri" w:eastAsia="Calibri" w:hAnsi="Calibri" w:cs="Calibri"/>
              </w:rPr>
            </w:pPr>
          </w:p>
        </w:tc>
        <w:tc>
          <w:tcPr>
            <w:tcW w:w="426"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Severity</w:t>
            </w:r>
          </w:p>
        </w:tc>
        <w:tc>
          <w:tcPr>
            <w:tcW w:w="425"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Likelihood</w:t>
            </w:r>
          </w:p>
        </w:tc>
        <w:tc>
          <w:tcPr>
            <w:tcW w:w="425" w:type="dxa"/>
            <w:vAlign w:val="center"/>
          </w:tcPr>
          <w:p w:rsidR="00E72FCB" w:rsidRDefault="00230AA5">
            <w:pPr>
              <w:pStyle w:val="Normal1"/>
              <w:ind w:left="113" w:right="113"/>
              <w:jc w:val="center"/>
              <w:rPr>
                <w:rFonts w:ascii="Calibri" w:eastAsia="Calibri" w:hAnsi="Calibri" w:cs="Calibri"/>
              </w:rPr>
            </w:pPr>
            <w:r>
              <w:rPr>
                <w:rFonts w:ascii="Calibri" w:eastAsia="Calibri" w:hAnsi="Calibri" w:cs="Calibri"/>
              </w:rPr>
              <w:t>Total Risk</w:t>
            </w:r>
          </w:p>
        </w:tc>
        <w:tc>
          <w:tcPr>
            <w:tcW w:w="3544" w:type="dxa"/>
            <w:vMerge/>
            <w:shd w:val="clear" w:color="auto" w:fill="C0C0C0"/>
            <w:vAlign w:val="center"/>
          </w:tcPr>
          <w:p w:rsidR="00E72FCB" w:rsidRDefault="00E72FCB">
            <w:pPr>
              <w:pStyle w:val="Normal1"/>
              <w:widowControl w:val="0"/>
              <w:pBdr>
                <w:top w:val="nil"/>
                <w:left w:val="nil"/>
                <w:bottom w:val="nil"/>
                <w:right w:val="nil"/>
                <w:between w:val="nil"/>
              </w:pBdr>
              <w:spacing w:line="276" w:lineRule="auto"/>
              <w:rPr>
                <w:rFonts w:ascii="Calibri" w:eastAsia="Calibri" w:hAnsi="Calibri" w:cs="Calibri"/>
              </w:rPr>
            </w:pPr>
          </w:p>
        </w:tc>
        <w:tc>
          <w:tcPr>
            <w:tcW w:w="1134" w:type="dxa"/>
            <w:vMerge/>
            <w:shd w:val="clear" w:color="auto" w:fill="C0C0C0"/>
          </w:tcPr>
          <w:p w:rsidR="00E72FCB" w:rsidRDefault="00E72FCB">
            <w:pPr>
              <w:pStyle w:val="Normal1"/>
              <w:widowControl w:val="0"/>
              <w:pBdr>
                <w:top w:val="nil"/>
                <w:left w:val="nil"/>
                <w:bottom w:val="nil"/>
                <w:right w:val="nil"/>
                <w:between w:val="nil"/>
              </w:pBdr>
              <w:spacing w:line="276" w:lineRule="auto"/>
              <w:rPr>
                <w:rFonts w:ascii="Calibri" w:eastAsia="Calibri" w:hAnsi="Calibri" w:cs="Calibri"/>
              </w:rPr>
            </w:pPr>
          </w:p>
        </w:tc>
      </w:tr>
      <w:tr w:rsidR="00E72FCB">
        <w:trPr>
          <w:trHeight w:val="460"/>
        </w:trPr>
        <w:tc>
          <w:tcPr>
            <w:tcW w:w="15926" w:type="dxa"/>
            <w:gridSpan w:val="11"/>
            <w:shd w:val="clear" w:color="auto" w:fill="auto"/>
            <w:vAlign w:val="center"/>
          </w:tcPr>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b/>
                <w:color w:val="548DD4"/>
                <w:sz w:val="22"/>
                <w:szCs w:val="22"/>
              </w:rPr>
            </w:pPr>
            <w:r>
              <w:rPr>
                <w:rFonts w:ascii="Calibri" w:eastAsia="Calibri" w:hAnsi="Calibri" w:cs="Calibri"/>
                <w:b/>
                <w:color w:val="548DD4"/>
                <w:sz w:val="22"/>
                <w:szCs w:val="22"/>
              </w:rPr>
              <w:t xml:space="preserve">This is in addition to the Government statement on Hand Washing for 20 seconds, not touching your faces and social distancing. </w:t>
            </w:r>
          </w:p>
          <w:p w:rsidR="00E72FCB" w:rsidRDefault="00230AA5" w:rsidP="00AA4D24">
            <w:pPr>
              <w:pStyle w:val="Normal1"/>
              <w:pBdr>
                <w:top w:val="nil"/>
                <w:left w:val="nil"/>
                <w:bottom w:val="nil"/>
                <w:right w:val="nil"/>
                <w:between w:val="nil"/>
              </w:pBdr>
              <w:shd w:val="clear" w:color="auto" w:fill="FFFFFF"/>
              <w:spacing w:line="276" w:lineRule="auto"/>
              <w:rPr>
                <w:rFonts w:ascii="Calibri" w:eastAsia="Calibri" w:hAnsi="Calibri" w:cs="Calibri"/>
                <w:b/>
                <w:color w:val="FF0000"/>
                <w:sz w:val="22"/>
                <w:szCs w:val="22"/>
              </w:rPr>
            </w:pPr>
            <w:r>
              <w:rPr>
                <w:rFonts w:ascii="Calibri" w:eastAsia="Calibri" w:hAnsi="Calibri" w:cs="Calibri"/>
                <w:b/>
                <w:color w:val="FF0000"/>
                <w:sz w:val="22"/>
                <w:szCs w:val="22"/>
              </w:rPr>
              <w:t xml:space="preserve">All of these controls will be subject to regular monitoring by the </w:t>
            </w:r>
            <w:r w:rsidR="00AA4D24">
              <w:rPr>
                <w:rFonts w:ascii="Calibri" w:eastAsia="Calibri" w:hAnsi="Calibri" w:cs="Calibri"/>
                <w:b/>
                <w:color w:val="FF0000"/>
                <w:sz w:val="22"/>
                <w:szCs w:val="22"/>
              </w:rPr>
              <w:t>bar staff and committee members.</w:t>
            </w:r>
          </w:p>
        </w:tc>
      </w:tr>
      <w:tr w:rsidR="00E72FCB">
        <w:trPr>
          <w:trHeight w:val="460"/>
        </w:trPr>
        <w:tc>
          <w:tcPr>
            <w:tcW w:w="2746" w:type="dxa"/>
            <w:gridSpan w:val="2"/>
            <w:shd w:val="clear" w:color="auto" w:fill="D9D9D9"/>
            <w:vAlign w:val="center"/>
          </w:tcPr>
          <w:p w:rsidR="00E72FCB" w:rsidRDefault="00AA4D24">
            <w:pPr>
              <w:pStyle w:val="Normal1"/>
              <w:rPr>
                <w:rFonts w:ascii="Calibri" w:eastAsia="Calibri" w:hAnsi="Calibri" w:cs="Calibri"/>
                <w:b/>
                <w:sz w:val="24"/>
                <w:szCs w:val="24"/>
              </w:rPr>
            </w:pPr>
            <w:r>
              <w:rPr>
                <w:rFonts w:ascii="Calibri" w:eastAsia="Calibri" w:hAnsi="Calibri" w:cs="Calibri"/>
                <w:b/>
                <w:sz w:val="24"/>
                <w:szCs w:val="24"/>
              </w:rPr>
              <w:t>Internal</w:t>
            </w:r>
          </w:p>
        </w:tc>
        <w:tc>
          <w:tcPr>
            <w:tcW w:w="425"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s</w:t>
            </w:r>
          </w:p>
        </w:tc>
        <w:tc>
          <w:tcPr>
            <w:tcW w:w="426"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L</w:t>
            </w:r>
          </w:p>
        </w:tc>
        <w:tc>
          <w:tcPr>
            <w:tcW w:w="480"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T</w:t>
            </w:r>
          </w:p>
        </w:tc>
        <w:tc>
          <w:tcPr>
            <w:tcW w:w="5895" w:type="dxa"/>
            <w:shd w:val="clear" w:color="auto" w:fill="D9D9D9"/>
            <w:vAlign w:val="center"/>
          </w:tcPr>
          <w:p w:rsidR="00E72FCB" w:rsidRDefault="00E72FCB">
            <w:pPr>
              <w:pStyle w:val="Normal1"/>
              <w:jc w:val="both"/>
              <w:rPr>
                <w:rFonts w:ascii="Calibri" w:eastAsia="Calibri" w:hAnsi="Calibri" w:cs="Calibri"/>
                <w:b/>
              </w:rPr>
            </w:pPr>
          </w:p>
        </w:tc>
        <w:tc>
          <w:tcPr>
            <w:tcW w:w="426"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S</w:t>
            </w:r>
          </w:p>
        </w:tc>
        <w:tc>
          <w:tcPr>
            <w:tcW w:w="425"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L</w:t>
            </w:r>
          </w:p>
        </w:tc>
        <w:tc>
          <w:tcPr>
            <w:tcW w:w="425" w:type="dxa"/>
            <w:shd w:val="clear" w:color="auto" w:fill="D9D9D9"/>
            <w:vAlign w:val="center"/>
          </w:tcPr>
          <w:p w:rsidR="00E72FCB" w:rsidRDefault="00230AA5">
            <w:pPr>
              <w:pStyle w:val="Normal1"/>
              <w:rPr>
                <w:rFonts w:ascii="Calibri" w:eastAsia="Calibri" w:hAnsi="Calibri" w:cs="Calibri"/>
              </w:rPr>
            </w:pPr>
            <w:r>
              <w:rPr>
                <w:rFonts w:ascii="Calibri" w:eastAsia="Calibri" w:hAnsi="Calibri" w:cs="Calibri"/>
              </w:rPr>
              <w:t>T</w:t>
            </w:r>
          </w:p>
        </w:tc>
        <w:tc>
          <w:tcPr>
            <w:tcW w:w="3544" w:type="dxa"/>
            <w:shd w:val="clear" w:color="auto" w:fill="D9D9D9"/>
            <w:vAlign w:val="center"/>
          </w:tcPr>
          <w:p w:rsidR="00E72FCB" w:rsidRDefault="00E72FCB">
            <w:pPr>
              <w:pStyle w:val="Normal1"/>
              <w:rPr>
                <w:rFonts w:ascii="Calibri" w:eastAsia="Calibri" w:hAnsi="Calibri" w:cs="Calibri"/>
              </w:rPr>
            </w:pPr>
          </w:p>
        </w:tc>
        <w:tc>
          <w:tcPr>
            <w:tcW w:w="1134" w:type="dxa"/>
            <w:shd w:val="clear" w:color="auto" w:fill="D9D9D9"/>
            <w:vAlign w:val="center"/>
          </w:tcPr>
          <w:p w:rsidR="00E72FCB" w:rsidRDefault="00E72FCB">
            <w:pPr>
              <w:pStyle w:val="Normal1"/>
              <w:rPr>
                <w:rFonts w:ascii="Calibri" w:eastAsia="Calibri" w:hAnsi="Calibri" w:cs="Calibri"/>
                <w:sz w:val="18"/>
                <w:szCs w:val="18"/>
              </w:rPr>
            </w:pPr>
          </w:p>
        </w:tc>
      </w:tr>
      <w:tr w:rsidR="00E72FCB">
        <w:trPr>
          <w:trHeight w:val="572"/>
        </w:trPr>
        <w:tc>
          <w:tcPr>
            <w:tcW w:w="2746" w:type="dxa"/>
            <w:gridSpan w:val="2"/>
          </w:tcPr>
          <w:p w:rsidR="00E72FCB" w:rsidRDefault="00AA4D24">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Bar area</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AA4D24" w:rsidRDefault="00AA4D24">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Payments by contactless where possible</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Same bar staff at all times</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Bar staff to only be from same household or one other (bubble) household</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Hand sanitiser available at all times</w:t>
            </w:r>
          </w:p>
          <w:p w:rsidR="00E72FC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Sanitiser to be used after every transactions</w:t>
            </w:r>
            <w:r w:rsidR="00230AA5">
              <w:rPr>
                <w:rFonts w:ascii="Calibri" w:eastAsia="Calibri" w:hAnsi="Calibri" w:cs="Calibri"/>
                <w:color w:val="222222"/>
                <w:sz w:val="22"/>
                <w:szCs w:val="22"/>
              </w:rPr>
              <w:t xml:space="preserve"> </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Bar staff responsible for keeping a record of everybody using the club (record must be kept for 21 days)</w:t>
            </w:r>
          </w:p>
          <w:p w:rsidR="0010245E" w:rsidRDefault="0010245E">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When collecting drinks, only one member at the bar at any one time, ensuring social distancing</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86"/>
        </w:trPr>
        <w:tc>
          <w:tcPr>
            <w:tcW w:w="2746" w:type="dxa"/>
            <w:gridSpan w:val="2"/>
          </w:tcPr>
          <w:p w:rsidR="00E72FCB" w:rsidRDefault="005A185B">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Entering internal area</w:t>
            </w:r>
          </w:p>
          <w:p w:rsidR="005A185B" w:rsidRDefault="005A185B">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Internal areas</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Hand sanitiser station to be placed upon entrance</w:t>
            </w:r>
          </w:p>
          <w:p w:rsidR="001C430A" w:rsidRDefault="001C430A">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QR scan point in entrance area</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All members to sanitise hands when entering building</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Seating to be set out to ensure social distancing</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Seating is not to be moved</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Social distancing to be adhered to at all times</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Snooker room, pool room and ball pit are cordoned off and out of use</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lastRenderedPageBreak/>
              <w:t>Darts can be played with own darts, but electronic scoreboard is not to be used</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Ordering of drinks is to be done by text message to the bar staff</w:t>
            </w:r>
          </w:p>
          <w:p w:rsidR="00225B68" w:rsidRDefault="00225B68">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Groups to be of same household and a maximum of one ‘bubble’ household (ensuring social distancing if from the bubble household)</w:t>
            </w:r>
          </w:p>
          <w:p w:rsidR="00E72FC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Constant monitoring of the rules by bar staff and committee members.  Anybody found breaking any rules will be given one reminder and asked to leave the club if they do so again.</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lastRenderedPageBreak/>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1A4786">
        <w:trPr>
          <w:trHeight w:val="786"/>
        </w:trPr>
        <w:tc>
          <w:tcPr>
            <w:tcW w:w="2746" w:type="dxa"/>
            <w:gridSpan w:val="2"/>
          </w:tcPr>
          <w:p w:rsidR="001A4786" w:rsidRDefault="001A4786">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lastRenderedPageBreak/>
              <w:t>External Areas</w:t>
            </w:r>
          </w:p>
        </w:tc>
        <w:tc>
          <w:tcPr>
            <w:tcW w:w="425" w:type="dxa"/>
            <w:vAlign w:val="center"/>
          </w:tcPr>
          <w:p w:rsidR="001A4786" w:rsidRDefault="001A4786">
            <w:pPr>
              <w:pStyle w:val="Normal1"/>
              <w:rPr>
                <w:rFonts w:ascii="Calibri" w:eastAsia="Calibri" w:hAnsi="Calibri" w:cs="Calibri"/>
              </w:rPr>
            </w:pPr>
            <w:r>
              <w:rPr>
                <w:rFonts w:ascii="Calibri" w:eastAsia="Calibri" w:hAnsi="Calibri" w:cs="Calibri"/>
              </w:rPr>
              <w:t>5</w:t>
            </w:r>
          </w:p>
        </w:tc>
        <w:tc>
          <w:tcPr>
            <w:tcW w:w="426" w:type="dxa"/>
            <w:vAlign w:val="center"/>
          </w:tcPr>
          <w:p w:rsidR="001A4786" w:rsidRDefault="001A4786">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1A4786" w:rsidRDefault="001A4786">
            <w:pPr>
              <w:pStyle w:val="Normal1"/>
              <w:rPr>
                <w:rFonts w:ascii="Calibri" w:eastAsia="Calibri" w:hAnsi="Calibri" w:cs="Calibri"/>
              </w:rPr>
            </w:pPr>
            <w:r>
              <w:rPr>
                <w:rFonts w:ascii="Calibri" w:eastAsia="Calibri" w:hAnsi="Calibri" w:cs="Calibri"/>
              </w:rPr>
              <w:t>25</w:t>
            </w:r>
          </w:p>
        </w:tc>
        <w:tc>
          <w:tcPr>
            <w:tcW w:w="5895" w:type="dxa"/>
          </w:tcPr>
          <w:p w:rsidR="001A4786" w:rsidRDefault="001A4786">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Bowls green only to be used as per the bowls section booking system</w:t>
            </w:r>
          </w:p>
          <w:p w:rsidR="001A4786" w:rsidRDefault="001A4786">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No use of communal equipment</w:t>
            </w:r>
          </w:p>
          <w:p w:rsidR="001A4786" w:rsidRDefault="001A4786">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Play area can be used (as per Government guidance).  Children to be supervised and wiping of equipment before and after use</w:t>
            </w:r>
          </w:p>
          <w:p w:rsidR="00860D2B" w:rsidRDefault="00860D2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External drinking areas to be kept to social distancing</w:t>
            </w:r>
          </w:p>
          <w:p w:rsidR="00860D2B" w:rsidRDefault="00860D2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Groups to be of same household and a maximum of one ‘bubble’ household (ensuring social distancing if from the bubble household)</w:t>
            </w:r>
          </w:p>
        </w:tc>
        <w:tc>
          <w:tcPr>
            <w:tcW w:w="426" w:type="dxa"/>
            <w:vAlign w:val="center"/>
          </w:tcPr>
          <w:p w:rsidR="001A4786" w:rsidRDefault="001A4786">
            <w:pPr>
              <w:pStyle w:val="Normal1"/>
              <w:rPr>
                <w:rFonts w:ascii="Calibri" w:eastAsia="Calibri" w:hAnsi="Calibri" w:cs="Calibri"/>
              </w:rPr>
            </w:pPr>
            <w:r>
              <w:rPr>
                <w:rFonts w:ascii="Calibri" w:eastAsia="Calibri" w:hAnsi="Calibri" w:cs="Calibri"/>
              </w:rPr>
              <w:t>5</w:t>
            </w:r>
          </w:p>
        </w:tc>
        <w:tc>
          <w:tcPr>
            <w:tcW w:w="425" w:type="dxa"/>
            <w:vAlign w:val="center"/>
          </w:tcPr>
          <w:p w:rsidR="001A4786" w:rsidRDefault="001A4786">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1A4786" w:rsidRDefault="001A4786">
            <w:pPr>
              <w:pStyle w:val="Normal1"/>
              <w:rPr>
                <w:rFonts w:ascii="Calibri" w:eastAsia="Calibri" w:hAnsi="Calibri" w:cs="Calibri"/>
              </w:rPr>
            </w:pPr>
            <w:r>
              <w:rPr>
                <w:rFonts w:ascii="Calibri" w:eastAsia="Calibri" w:hAnsi="Calibri" w:cs="Calibri"/>
              </w:rPr>
              <w:t>5</w:t>
            </w:r>
          </w:p>
        </w:tc>
        <w:tc>
          <w:tcPr>
            <w:tcW w:w="3544" w:type="dxa"/>
            <w:vAlign w:val="center"/>
          </w:tcPr>
          <w:p w:rsidR="001A4786" w:rsidRDefault="001A4786">
            <w:pPr>
              <w:pStyle w:val="Normal1"/>
              <w:rPr>
                <w:rFonts w:ascii="Calibri" w:eastAsia="Calibri" w:hAnsi="Calibri" w:cs="Calibri"/>
              </w:rPr>
            </w:pPr>
          </w:p>
        </w:tc>
        <w:tc>
          <w:tcPr>
            <w:tcW w:w="1134" w:type="dxa"/>
            <w:vAlign w:val="center"/>
          </w:tcPr>
          <w:p w:rsidR="001A4786" w:rsidRDefault="001A4786">
            <w:pPr>
              <w:pStyle w:val="Normal1"/>
              <w:rPr>
                <w:rFonts w:ascii="Calibri" w:eastAsia="Calibri" w:hAnsi="Calibri" w:cs="Calibri"/>
                <w:sz w:val="18"/>
                <w:szCs w:val="18"/>
              </w:rPr>
            </w:pPr>
          </w:p>
        </w:tc>
      </w:tr>
      <w:tr w:rsidR="00E72FCB">
        <w:trPr>
          <w:trHeight w:val="1904"/>
        </w:trPr>
        <w:tc>
          <w:tcPr>
            <w:tcW w:w="2746" w:type="dxa"/>
            <w:gridSpan w:val="2"/>
          </w:tcPr>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Travel around </w:t>
            </w:r>
            <w:r w:rsidR="005A185B">
              <w:rPr>
                <w:rFonts w:ascii="Calibri" w:eastAsia="Calibri" w:hAnsi="Calibri" w:cs="Calibri"/>
                <w:color w:val="222222"/>
                <w:sz w:val="22"/>
                <w:szCs w:val="22"/>
              </w:rPr>
              <w:t>the club</w:t>
            </w:r>
          </w:p>
          <w:p w:rsidR="00E72FCB" w:rsidRDefault="00E72FCB">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One way system in place externally for entering and exiting the club – From the car park, take the left entry and when leaving, leave to the left so that there is no cross over around the bowls green</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One way system in place internally.</w:t>
            </w:r>
          </w:p>
          <w:p w:rsidR="00E72FCB" w:rsidRDefault="005A185B" w:rsidP="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One</w:t>
            </w:r>
            <w:r w:rsidR="00230AA5">
              <w:rPr>
                <w:rFonts w:ascii="Calibri" w:eastAsia="Calibri" w:hAnsi="Calibri" w:cs="Calibri"/>
                <w:color w:val="222222"/>
                <w:sz w:val="22"/>
                <w:szCs w:val="22"/>
              </w:rPr>
              <w:t xml:space="preserve"> way system designed to</w:t>
            </w:r>
            <w:r w:rsidR="00DB4EF2">
              <w:rPr>
                <w:rFonts w:ascii="Calibri" w:eastAsia="Calibri" w:hAnsi="Calibri" w:cs="Calibri"/>
                <w:color w:val="222222"/>
                <w:sz w:val="22"/>
                <w:szCs w:val="22"/>
              </w:rPr>
              <w:t xml:space="preserve"> </w:t>
            </w:r>
            <w:r>
              <w:rPr>
                <w:rFonts w:ascii="Calibri" w:eastAsia="Calibri" w:hAnsi="Calibri" w:cs="Calibri"/>
                <w:color w:val="222222"/>
                <w:sz w:val="22"/>
                <w:szCs w:val="22"/>
              </w:rPr>
              <w:t>try to keep social distancing</w:t>
            </w:r>
            <w:r w:rsidR="00DB4EF2">
              <w:rPr>
                <w:rFonts w:ascii="Calibri" w:eastAsia="Calibri" w:hAnsi="Calibri" w:cs="Calibri"/>
                <w:color w:val="222222"/>
                <w:sz w:val="22"/>
                <w:szCs w:val="22"/>
              </w:rPr>
              <w:t>.</w:t>
            </w:r>
          </w:p>
          <w:p w:rsidR="001A4786" w:rsidRDefault="001A4786" w:rsidP="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Signage in place (no entry/exit only/one way etc.)</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86"/>
        </w:trPr>
        <w:tc>
          <w:tcPr>
            <w:tcW w:w="2746" w:type="dxa"/>
            <w:gridSpan w:val="2"/>
          </w:tcPr>
          <w:p w:rsidR="00E72FCB" w:rsidRDefault="00230AA5" w:rsidP="006230F2">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Separate entrances and exits</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6230F2" w:rsidRDefault="006230F2" w:rsidP="006230F2">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Enter in via the far left hand door only.</w:t>
            </w:r>
          </w:p>
          <w:p w:rsidR="006230F2" w:rsidRDefault="006230F2" w:rsidP="006230F2">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Exit via the middle set of doors if you are drinking outside.</w:t>
            </w:r>
          </w:p>
          <w:p w:rsidR="00E72FCB" w:rsidRDefault="006230F2" w:rsidP="006230F2">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Exit via the rear doors if you have used the toilet and return vi the main left hand door.</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tcPr>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PPE usage</w:t>
            </w:r>
          </w:p>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Use of masks</w:t>
            </w:r>
          </w:p>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Use of Gloves</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1C430A" w:rsidRDefault="001C430A">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Screen up at bar</w:t>
            </w:r>
          </w:p>
          <w:p w:rsidR="00E72FCB" w:rsidRDefault="00230AA5">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2 metres between people when walking, standing or sitting is mandatory. </w:t>
            </w:r>
          </w:p>
          <w:p w:rsidR="00E72FCB" w:rsidRDefault="006230F2" w:rsidP="006230F2">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Bar staff</w:t>
            </w:r>
            <w:r w:rsidR="00230AA5">
              <w:rPr>
                <w:rFonts w:ascii="Calibri" w:eastAsia="Calibri" w:hAnsi="Calibri" w:cs="Calibri"/>
                <w:color w:val="222222"/>
                <w:sz w:val="22"/>
                <w:szCs w:val="22"/>
              </w:rPr>
              <w:t xml:space="preserve"> may choose to wear face coverings by choice.  They should keep them clean and dispose of them </w:t>
            </w:r>
            <w:r>
              <w:rPr>
                <w:rFonts w:ascii="Calibri" w:eastAsia="Calibri" w:hAnsi="Calibri" w:cs="Calibri"/>
                <w:color w:val="222222"/>
                <w:sz w:val="22"/>
                <w:szCs w:val="22"/>
              </w:rPr>
              <w:t>after use.</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tcPr>
          <w:p w:rsidR="00E72FCB" w:rsidRDefault="005A185B">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lastRenderedPageBreak/>
              <w:t>Kitchen Area</w:t>
            </w:r>
            <w:r w:rsidR="00230AA5">
              <w:rPr>
                <w:rFonts w:ascii="Calibri" w:eastAsia="Calibri" w:hAnsi="Calibri" w:cs="Calibri"/>
                <w:color w:val="222222"/>
                <w:sz w:val="22"/>
                <w:szCs w:val="22"/>
              </w:rPr>
              <w:t xml:space="preserve"> </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tcPr>
          <w:p w:rsidR="00E72FC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No food to be served or available.</w:t>
            </w:r>
          </w:p>
          <w:p w:rsidR="005A185B" w:rsidRDefault="005A185B">
            <w:pPr>
              <w:pStyle w:val="Normal1"/>
              <w:widowControl w:val="0"/>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Kitchen area to remain locked.</w:t>
            </w:r>
          </w:p>
          <w:p w:rsidR="00E72FCB" w:rsidRDefault="00E72FCB">
            <w:pPr>
              <w:pStyle w:val="Normal1"/>
              <w:widowControl w:val="0"/>
              <w:pBdr>
                <w:top w:val="nil"/>
                <w:left w:val="nil"/>
                <w:bottom w:val="nil"/>
                <w:right w:val="nil"/>
                <w:between w:val="nil"/>
              </w:pBdr>
              <w:rPr>
                <w:rFonts w:ascii="Calibri" w:eastAsia="Calibri" w:hAnsi="Calibri" w:cs="Calibri"/>
                <w:color w:val="222222"/>
                <w:sz w:val="22"/>
                <w:szCs w:val="22"/>
              </w:rPr>
            </w:pP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230AA5">
            <w:pPr>
              <w:pStyle w:val="Normal1"/>
              <w:pBdr>
                <w:top w:val="nil"/>
                <w:left w:val="nil"/>
                <w:bottom w:val="nil"/>
                <w:right w:val="nil"/>
                <w:between w:val="nil"/>
              </w:pBd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Toilets </w:t>
            </w:r>
          </w:p>
          <w:p w:rsidR="00E72FCB" w:rsidRDefault="00E72FCB">
            <w:pPr>
              <w:pStyle w:val="Normal1"/>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vAlign w:val="center"/>
          </w:tcPr>
          <w:p w:rsidR="00E72FCB"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Adjacent cubicles are to be cordoned off and not used</w:t>
            </w:r>
          </w:p>
          <w:p w:rsidR="006230F2"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Adjacent urinals are to be cordoned off and not used</w:t>
            </w:r>
          </w:p>
          <w:p w:rsidR="006230F2"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Adjacent hand basins are to be cordoned off and not used</w:t>
            </w:r>
          </w:p>
          <w:p w:rsidR="006230F2"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Additional hand washing signage</w:t>
            </w:r>
          </w:p>
          <w:p w:rsidR="00E72FCB" w:rsidRDefault="006230F2" w:rsidP="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Soap dispensers to be kept replenished at all times</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In the WC, do not engage in conversation with other user </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All WC’</w:t>
            </w:r>
            <w:r w:rsidR="006230F2">
              <w:rPr>
                <w:rFonts w:ascii="Calibri" w:eastAsia="Calibri" w:hAnsi="Calibri" w:cs="Calibri"/>
                <w:color w:val="222222"/>
                <w:sz w:val="22"/>
                <w:szCs w:val="22"/>
              </w:rPr>
              <w:t>s are subject to a</w:t>
            </w:r>
            <w:r>
              <w:rPr>
                <w:rFonts w:ascii="Calibri" w:eastAsia="Calibri" w:hAnsi="Calibri" w:cs="Calibri"/>
                <w:color w:val="222222"/>
                <w:sz w:val="22"/>
                <w:szCs w:val="22"/>
              </w:rPr>
              <w:t xml:space="preserve"> cleaning regime</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Hand washing facilities to be used regularly to clean hands </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230AA5">
            <w:pPr>
              <w:pStyle w:val="Normal1"/>
              <w:rPr>
                <w:rFonts w:ascii="Calibri" w:eastAsia="Calibri" w:hAnsi="Calibri" w:cs="Calibri"/>
                <w:color w:val="222222"/>
                <w:sz w:val="22"/>
                <w:szCs w:val="22"/>
              </w:rPr>
            </w:pPr>
            <w:r>
              <w:rPr>
                <w:rFonts w:ascii="Calibri" w:eastAsia="Calibri" w:hAnsi="Calibri" w:cs="Calibri"/>
                <w:color w:val="222222"/>
                <w:sz w:val="22"/>
                <w:szCs w:val="22"/>
              </w:rPr>
              <w:t>First aid requirements</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vAlign w:val="center"/>
          </w:tcPr>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Wash hands after any first aid treatment.</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If Covid19 suspected then maintain 2m distancing and request employee to </w:t>
            </w:r>
            <w:r w:rsidR="006230F2">
              <w:rPr>
                <w:rFonts w:ascii="Calibri" w:eastAsia="Calibri" w:hAnsi="Calibri" w:cs="Calibri"/>
                <w:color w:val="222222"/>
                <w:sz w:val="22"/>
                <w:szCs w:val="22"/>
              </w:rPr>
              <w:t>wait outside</w:t>
            </w:r>
            <w:r>
              <w:rPr>
                <w:rFonts w:ascii="Calibri" w:eastAsia="Calibri" w:hAnsi="Calibri" w:cs="Calibri"/>
                <w:color w:val="222222"/>
                <w:sz w:val="22"/>
                <w:szCs w:val="22"/>
              </w:rPr>
              <w:t xml:space="preserve"> the building. </w:t>
            </w:r>
            <w:r w:rsidR="006230F2">
              <w:rPr>
                <w:rFonts w:ascii="Calibri" w:eastAsia="Calibri" w:hAnsi="Calibri" w:cs="Calibri"/>
                <w:color w:val="222222"/>
                <w:sz w:val="22"/>
                <w:szCs w:val="22"/>
              </w:rPr>
              <w:t xml:space="preserve"> Notify Carl Starling incident.</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Deep clean of areas if required.</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Wash hands after any first aid treatment.</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230AA5">
            <w:pPr>
              <w:pStyle w:val="Normal1"/>
              <w:rPr>
                <w:rFonts w:ascii="Calibri" w:eastAsia="Calibri" w:hAnsi="Calibri" w:cs="Calibri"/>
                <w:color w:val="222222"/>
                <w:sz w:val="22"/>
                <w:szCs w:val="22"/>
              </w:rPr>
            </w:pPr>
            <w:r>
              <w:rPr>
                <w:rFonts w:ascii="Calibri" w:eastAsia="Calibri" w:hAnsi="Calibri" w:cs="Calibri"/>
                <w:color w:val="222222"/>
                <w:sz w:val="22"/>
                <w:szCs w:val="22"/>
              </w:rPr>
              <w:t xml:space="preserve">Fire </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vAlign w:val="center"/>
          </w:tcPr>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In case of emergency please use nearest exit - trying to keep the 2m distance if possible</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Muster point attendance - keep the 2m distance if possible </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Wash hands upon re-entry to building</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sz w:val="22"/>
                <w:szCs w:val="22"/>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230AA5">
            <w:pPr>
              <w:pStyle w:val="Normal1"/>
              <w:rPr>
                <w:rFonts w:ascii="Calibri" w:eastAsia="Calibri" w:hAnsi="Calibri" w:cs="Calibri"/>
                <w:color w:val="222222"/>
                <w:sz w:val="22"/>
                <w:szCs w:val="22"/>
              </w:rPr>
            </w:pPr>
            <w:r>
              <w:rPr>
                <w:rFonts w:ascii="Calibri" w:eastAsia="Calibri" w:hAnsi="Calibri" w:cs="Calibri"/>
                <w:color w:val="222222"/>
                <w:sz w:val="22"/>
                <w:szCs w:val="22"/>
              </w:rPr>
              <w:t>Communal use Equipment/Areas</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vAlign w:val="center"/>
          </w:tcPr>
          <w:p w:rsidR="006230F2"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Keep to a minimum</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Use of wipes to cleanse after use</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Good general hygiene measures</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Posters </w:t>
            </w:r>
            <w:r w:rsidR="006230F2">
              <w:rPr>
                <w:rFonts w:ascii="Calibri" w:eastAsia="Calibri" w:hAnsi="Calibri" w:cs="Calibri"/>
                <w:color w:val="222222"/>
                <w:sz w:val="22"/>
                <w:szCs w:val="22"/>
              </w:rPr>
              <w:t xml:space="preserve">and signage </w:t>
            </w:r>
            <w:r>
              <w:rPr>
                <w:rFonts w:ascii="Calibri" w:eastAsia="Calibri" w:hAnsi="Calibri" w:cs="Calibri"/>
                <w:color w:val="222222"/>
                <w:sz w:val="22"/>
                <w:szCs w:val="22"/>
              </w:rPr>
              <w:t>on walls</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Minimise touching of equipment.  Wipe before and after use</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sz w:val="22"/>
                <w:szCs w:val="22"/>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230AA5">
            <w:pPr>
              <w:pStyle w:val="Normal1"/>
              <w:rPr>
                <w:rFonts w:ascii="Calibri" w:eastAsia="Calibri" w:hAnsi="Calibri" w:cs="Calibri"/>
                <w:color w:val="222222"/>
                <w:sz w:val="22"/>
                <w:szCs w:val="22"/>
              </w:rPr>
            </w:pPr>
            <w:r>
              <w:rPr>
                <w:rFonts w:ascii="Calibri" w:eastAsia="Calibri" w:hAnsi="Calibri" w:cs="Calibri"/>
                <w:color w:val="222222"/>
                <w:sz w:val="22"/>
                <w:szCs w:val="22"/>
              </w:rPr>
              <w:t>Car Park</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25</w:t>
            </w:r>
          </w:p>
        </w:tc>
        <w:tc>
          <w:tcPr>
            <w:tcW w:w="5895" w:type="dxa"/>
            <w:vAlign w:val="center"/>
          </w:tcPr>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Ensure one car space between cars when parking</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sz w:val="22"/>
                <w:szCs w:val="22"/>
              </w:rPr>
            </w:pPr>
          </w:p>
        </w:tc>
        <w:tc>
          <w:tcPr>
            <w:tcW w:w="1134" w:type="dxa"/>
            <w:vAlign w:val="center"/>
          </w:tcPr>
          <w:p w:rsidR="00E72FCB" w:rsidRDefault="00E72FCB">
            <w:pPr>
              <w:pStyle w:val="Normal1"/>
              <w:rPr>
                <w:rFonts w:ascii="Calibri" w:eastAsia="Calibri" w:hAnsi="Calibri" w:cs="Calibri"/>
                <w:sz w:val="18"/>
                <w:szCs w:val="18"/>
              </w:rPr>
            </w:pPr>
          </w:p>
        </w:tc>
      </w:tr>
      <w:tr w:rsidR="00E72FCB">
        <w:trPr>
          <w:trHeight w:val="754"/>
        </w:trPr>
        <w:tc>
          <w:tcPr>
            <w:tcW w:w="2746" w:type="dxa"/>
            <w:gridSpan w:val="2"/>
            <w:vAlign w:val="center"/>
          </w:tcPr>
          <w:p w:rsidR="00E72FCB" w:rsidRDefault="006230F2">
            <w:pPr>
              <w:pStyle w:val="Normal1"/>
              <w:rPr>
                <w:rFonts w:ascii="Calibri" w:eastAsia="Calibri" w:hAnsi="Calibri" w:cs="Calibri"/>
                <w:color w:val="222222"/>
                <w:sz w:val="22"/>
                <w:szCs w:val="22"/>
              </w:rPr>
            </w:pPr>
            <w:r>
              <w:rPr>
                <w:rFonts w:ascii="Calibri" w:eastAsia="Calibri" w:hAnsi="Calibri" w:cs="Calibri"/>
                <w:color w:val="222222"/>
                <w:sz w:val="22"/>
                <w:szCs w:val="22"/>
              </w:rPr>
              <w:t>Bar Staff/members</w:t>
            </w:r>
            <w:r w:rsidR="00230AA5">
              <w:rPr>
                <w:rFonts w:ascii="Calibri" w:eastAsia="Calibri" w:hAnsi="Calibri" w:cs="Calibri"/>
                <w:color w:val="222222"/>
                <w:sz w:val="22"/>
                <w:szCs w:val="22"/>
              </w:rPr>
              <w:t xml:space="preserve"> not being listened to/need to escalate a concern</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3</w:t>
            </w:r>
          </w:p>
        </w:tc>
        <w:tc>
          <w:tcPr>
            <w:tcW w:w="480" w:type="dxa"/>
            <w:shd w:val="clear" w:color="auto" w:fill="FF0000"/>
            <w:vAlign w:val="center"/>
          </w:tcPr>
          <w:p w:rsidR="00E72FCB" w:rsidRDefault="00230AA5">
            <w:pPr>
              <w:pStyle w:val="Normal1"/>
              <w:rPr>
                <w:rFonts w:ascii="Calibri" w:eastAsia="Calibri" w:hAnsi="Calibri" w:cs="Calibri"/>
              </w:rPr>
            </w:pPr>
            <w:r>
              <w:rPr>
                <w:rFonts w:ascii="Calibri" w:eastAsia="Calibri" w:hAnsi="Calibri" w:cs="Calibri"/>
              </w:rPr>
              <w:t>15</w:t>
            </w:r>
          </w:p>
        </w:tc>
        <w:tc>
          <w:tcPr>
            <w:tcW w:w="5895" w:type="dxa"/>
            <w:vAlign w:val="center"/>
          </w:tcPr>
          <w:p w:rsidR="00E72FCB" w:rsidRDefault="006230F2">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Contact the bar staff or a Committee Member in the first instance</w:t>
            </w:r>
          </w:p>
          <w:p w:rsidR="00E72FCB" w:rsidRDefault="00230AA5">
            <w:pPr>
              <w:pStyle w:val="Normal1"/>
              <w:pBdr>
                <w:top w:val="nil"/>
                <w:left w:val="nil"/>
                <w:bottom w:val="nil"/>
                <w:right w:val="nil"/>
                <w:between w:val="nil"/>
              </w:pBdr>
              <w:rPr>
                <w:rFonts w:ascii="Calibri" w:eastAsia="Calibri" w:hAnsi="Calibri" w:cs="Calibri"/>
                <w:color w:val="222222"/>
                <w:sz w:val="22"/>
                <w:szCs w:val="22"/>
              </w:rPr>
            </w:pPr>
            <w:r>
              <w:rPr>
                <w:rFonts w:ascii="Calibri" w:eastAsia="Calibri" w:hAnsi="Calibri" w:cs="Calibri"/>
                <w:color w:val="222222"/>
                <w:sz w:val="22"/>
                <w:szCs w:val="22"/>
              </w:rPr>
              <w:t xml:space="preserve">Access to HSE - </w:t>
            </w:r>
            <w:hyperlink r:id="rId8">
              <w:r>
                <w:rPr>
                  <w:rFonts w:ascii="Calibri" w:eastAsia="Calibri" w:hAnsi="Calibri" w:cs="Calibri"/>
                  <w:color w:val="1155CC"/>
                  <w:sz w:val="22"/>
                  <w:szCs w:val="22"/>
                  <w:u w:val="single"/>
                </w:rPr>
                <w:t>https://www.hse.gov.uk/contact/concerns.htm</w:t>
              </w:r>
            </w:hyperlink>
            <w:r>
              <w:rPr>
                <w:rFonts w:ascii="Calibri" w:eastAsia="Calibri" w:hAnsi="Calibri" w:cs="Calibri"/>
                <w:color w:val="222222"/>
                <w:sz w:val="22"/>
                <w:szCs w:val="22"/>
              </w:rPr>
              <w:t xml:space="preserve"> or by phone on 0300 003 1647</w:t>
            </w:r>
          </w:p>
        </w:tc>
        <w:tc>
          <w:tcPr>
            <w:tcW w:w="426" w:type="dxa"/>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425" w:type="dxa"/>
            <w:vAlign w:val="center"/>
          </w:tcPr>
          <w:p w:rsidR="00E72FCB" w:rsidRDefault="00230AA5">
            <w:pPr>
              <w:pStyle w:val="Normal1"/>
              <w:rPr>
                <w:rFonts w:ascii="Calibri" w:eastAsia="Calibri" w:hAnsi="Calibri" w:cs="Calibri"/>
              </w:rPr>
            </w:pPr>
            <w:r>
              <w:rPr>
                <w:rFonts w:ascii="Calibri" w:eastAsia="Calibri" w:hAnsi="Calibri" w:cs="Calibri"/>
              </w:rPr>
              <w:t>1</w:t>
            </w:r>
          </w:p>
        </w:tc>
        <w:tc>
          <w:tcPr>
            <w:tcW w:w="425" w:type="dxa"/>
            <w:shd w:val="clear" w:color="auto" w:fill="93C47D"/>
            <w:vAlign w:val="center"/>
          </w:tcPr>
          <w:p w:rsidR="00E72FCB" w:rsidRDefault="00230AA5">
            <w:pPr>
              <w:pStyle w:val="Normal1"/>
              <w:rPr>
                <w:rFonts w:ascii="Calibri" w:eastAsia="Calibri" w:hAnsi="Calibri" w:cs="Calibri"/>
              </w:rPr>
            </w:pPr>
            <w:r>
              <w:rPr>
                <w:rFonts w:ascii="Calibri" w:eastAsia="Calibri" w:hAnsi="Calibri" w:cs="Calibri"/>
              </w:rPr>
              <w:t>5</w:t>
            </w:r>
          </w:p>
        </w:tc>
        <w:tc>
          <w:tcPr>
            <w:tcW w:w="3544" w:type="dxa"/>
            <w:vAlign w:val="center"/>
          </w:tcPr>
          <w:p w:rsidR="00E72FCB" w:rsidRDefault="00E72FCB">
            <w:pPr>
              <w:pStyle w:val="Normal1"/>
              <w:rPr>
                <w:rFonts w:ascii="Calibri" w:eastAsia="Calibri" w:hAnsi="Calibri" w:cs="Calibri"/>
                <w:sz w:val="22"/>
                <w:szCs w:val="22"/>
              </w:rPr>
            </w:pPr>
          </w:p>
        </w:tc>
        <w:tc>
          <w:tcPr>
            <w:tcW w:w="1134" w:type="dxa"/>
            <w:vAlign w:val="center"/>
          </w:tcPr>
          <w:p w:rsidR="00E72FCB" w:rsidRDefault="00E72FCB">
            <w:pPr>
              <w:pStyle w:val="Normal1"/>
              <w:rPr>
                <w:rFonts w:ascii="Calibri" w:eastAsia="Calibri" w:hAnsi="Calibri" w:cs="Calibri"/>
                <w:sz w:val="18"/>
                <w:szCs w:val="18"/>
              </w:rPr>
            </w:pPr>
          </w:p>
        </w:tc>
      </w:tr>
    </w:tbl>
    <w:p w:rsidR="001C430A" w:rsidRDefault="001C430A" w:rsidP="00FE139D">
      <w:pPr>
        <w:pStyle w:val="Normal1"/>
        <w:rPr>
          <w:b/>
        </w:rPr>
      </w:pPr>
    </w:p>
    <w:p w:rsidR="001C430A" w:rsidRPr="001C430A" w:rsidRDefault="001C430A" w:rsidP="001C430A"/>
    <w:p w:rsidR="001C430A" w:rsidRDefault="001C430A" w:rsidP="001C430A"/>
    <w:p w:rsidR="00E72FCB" w:rsidRPr="001C430A" w:rsidRDefault="001C430A" w:rsidP="001C430A">
      <w:pPr>
        <w:tabs>
          <w:tab w:val="left" w:pos="13010"/>
        </w:tabs>
      </w:pPr>
      <w:r>
        <w:tab/>
      </w:r>
    </w:p>
    <w:sectPr w:rsidR="00E72FCB" w:rsidRPr="001C430A" w:rsidSect="00E72FCB">
      <w:headerReference w:type="default" r:id="rId9"/>
      <w:footerReference w:type="default" r:id="rId10"/>
      <w:headerReference w:type="first" r:id="rId11"/>
      <w:footerReference w:type="first" r:id="rId12"/>
      <w:pgSz w:w="16838" w:h="11906"/>
      <w:pgMar w:top="993" w:right="638" w:bottom="851" w:left="1418" w:header="426"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C9" w:rsidRDefault="00AB51C9" w:rsidP="00E72FCB">
      <w:r>
        <w:separator/>
      </w:r>
    </w:p>
  </w:endnote>
  <w:endnote w:type="continuationSeparator" w:id="0">
    <w:p w:rsidR="00AB51C9" w:rsidRDefault="00AB51C9" w:rsidP="00E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0A" w:rsidRDefault="001C430A">
    <w:pPr>
      <w:pStyle w:val="Footer"/>
    </w:pPr>
    <w:r>
      <w:t>AHS&amp;S Club COVID Risk Assessment</w:t>
    </w:r>
    <w:r>
      <w:tab/>
    </w:r>
    <w:r>
      <w:tab/>
      <w:t>Version 2</w:t>
    </w:r>
    <w:r>
      <w:tab/>
    </w:r>
    <w:r>
      <w:tab/>
    </w:r>
    <w:r>
      <w:tab/>
    </w:r>
    <w:r>
      <w:tab/>
    </w:r>
    <w:r>
      <w:tab/>
    </w:r>
    <w:r>
      <w:tab/>
    </w:r>
    <w:r>
      <w:tab/>
      <w:t>April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CB" w:rsidRDefault="00230AA5">
    <w:pPr>
      <w:pStyle w:val="Normal1"/>
      <w:pBdr>
        <w:top w:val="nil"/>
        <w:left w:val="nil"/>
        <w:bottom w:val="nil"/>
        <w:right w:val="nil"/>
        <w:between w:val="nil"/>
      </w:pBdr>
      <w:tabs>
        <w:tab w:val="center" w:pos="4153"/>
        <w:tab w:val="right" w:pos="8306"/>
      </w:tabs>
      <w:rPr>
        <w:color w:val="000000"/>
      </w:rPr>
    </w:pPr>
    <w:r>
      <w:rPr>
        <w:color w:val="000000"/>
      </w:rPr>
      <w:t>Version 13: 28</w:t>
    </w:r>
    <w:r>
      <w:rPr>
        <w:color w:val="000000"/>
        <w:vertAlign w:val="superscript"/>
      </w:rPr>
      <w:t>th</w:t>
    </w:r>
    <w:r>
      <w:rPr>
        <w:color w:val="000000"/>
      </w:rPr>
      <w:t xml:space="preserve"> April 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C9" w:rsidRDefault="00AB51C9" w:rsidP="00E72FCB">
      <w:r>
        <w:separator/>
      </w:r>
    </w:p>
  </w:footnote>
  <w:footnote w:type="continuationSeparator" w:id="0">
    <w:p w:rsidR="00AB51C9" w:rsidRDefault="00AB51C9" w:rsidP="00E7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CB" w:rsidRDefault="006230F2" w:rsidP="006230F2">
    <w:pPr>
      <w:pStyle w:val="Heading1"/>
      <w:ind w:hanging="709"/>
      <w:rPr>
        <w:rFonts w:ascii="Calibri" w:eastAsia="Calibri" w:hAnsi="Calibri" w:cs="Calibri"/>
        <w:color w:val="000000"/>
      </w:rPr>
    </w:pPr>
    <w:r w:rsidRPr="006230F2">
      <w:rPr>
        <w:noProof/>
      </w:rPr>
      <w:drawing>
        <wp:anchor distT="0" distB="0" distL="114300" distR="114300" simplePos="0" relativeHeight="251658240" behindDoc="0" locked="0" layoutInCell="1" allowOverlap="1">
          <wp:simplePos x="0" y="0"/>
          <wp:positionH relativeFrom="column">
            <wp:posOffset>-795655</wp:posOffset>
          </wp:positionH>
          <wp:positionV relativeFrom="paragraph">
            <wp:posOffset>-241934</wp:posOffset>
          </wp:positionV>
          <wp:extent cx="1438275" cy="704850"/>
          <wp:effectExtent l="19050" t="0" r="9525" b="0"/>
          <wp:wrapNone/>
          <wp:docPr id="13" name="Picture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
                  <a:srcRect/>
                  <a:stretch>
                    <a:fillRect/>
                  </a:stretch>
                </pic:blipFill>
                <pic:spPr bwMode="auto">
                  <a:xfrm>
                    <a:off x="0" y="0"/>
                    <a:ext cx="1438275" cy="704850"/>
                  </a:xfrm>
                  <a:prstGeom prst="rect">
                    <a:avLst/>
                  </a:prstGeom>
                  <a:noFill/>
                  <a:ln w="9525">
                    <a:noFill/>
                    <a:miter lim="800000"/>
                    <a:headEnd/>
                    <a:tailEnd/>
                  </a:ln>
                </pic:spPr>
              </pic:pic>
            </a:graphicData>
          </a:graphic>
        </wp:anchor>
      </w:drawing>
    </w:r>
    <w:r w:rsidR="008B7DFF">
      <w:t xml:space="preserve">Risk Assessment </w:t>
    </w:r>
    <w:r>
      <w:t>– COVID-01</w:t>
    </w:r>
  </w:p>
  <w:p w:rsidR="00E72FCB" w:rsidRDefault="00E72FCB">
    <w:pPr>
      <w:pStyle w:val="Normal1"/>
      <w:pBdr>
        <w:top w:val="nil"/>
        <w:left w:val="nil"/>
        <w:bottom w:val="nil"/>
        <w:right w:val="nil"/>
        <w:between w:val="nil"/>
      </w:pBdr>
      <w:tabs>
        <w:tab w:val="center" w:pos="4153"/>
        <w:tab w:val="right" w:pos="8306"/>
      </w:tabs>
      <w:ind w:right="-20"/>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CB" w:rsidRDefault="00230AA5">
    <w:pPr>
      <w:pStyle w:val="Normal1"/>
      <w:pBdr>
        <w:top w:val="nil"/>
        <w:left w:val="nil"/>
        <w:bottom w:val="nil"/>
        <w:right w:val="nil"/>
        <w:between w:val="nil"/>
      </w:pBdr>
      <w:tabs>
        <w:tab w:val="center" w:pos="4153"/>
        <w:tab w:val="right" w:pos="8306"/>
      </w:tabs>
      <w:rPr>
        <w:color w:val="000000"/>
      </w:rPr>
    </w:pPr>
    <w:r>
      <w:rPr>
        <w:noProof/>
        <w:color w:val="000000"/>
      </w:rPr>
      <w:drawing>
        <wp:inline distT="0" distB="0" distL="0" distR="0">
          <wp:extent cx="2127250" cy="35306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27250" cy="3530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2FCB"/>
    <w:rsid w:val="00027403"/>
    <w:rsid w:val="000D175D"/>
    <w:rsid w:val="0010245E"/>
    <w:rsid w:val="001A4786"/>
    <w:rsid w:val="001C430A"/>
    <w:rsid w:val="00225B68"/>
    <w:rsid w:val="00230AA5"/>
    <w:rsid w:val="00232F5C"/>
    <w:rsid w:val="005A185B"/>
    <w:rsid w:val="006230F2"/>
    <w:rsid w:val="006C072A"/>
    <w:rsid w:val="006E6BFD"/>
    <w:rsid w:val="007878EF"/>
    <w:rsid w:val="00860D2B"/>
    <w:rsid w:val="008B7DFF"/>
    <w:rsid w:val="00982D87"/>
    <w:rsid w:val="00A80E27"/>
    <w:rsid w:val="00AA4D24"/>
    <w:rsid w:val="00AB4491"/>
    <w:rsid w:val="00AB51C9"/>
    <w:rsid w:val="00AC5A67"/>
    <w:rsid w:val="00B10147"/>
    <w:rsid w:val="00B10368"/>
    <w:rsid w:val="00BC5776"/>
    <w:rsid w:val="00C65D2D"/>
    <w:rsid w:val="00CA4F71"/>
    <w:rsid w:val="00CF22B2"/>
    <w:rsid w:val="00D40EC2"/>
    <w:rsid w:val="00DB4EF2"/>
    <w:rsid w:val="00DD6785"/>
    <w:rsid w:val="00DF0283"/>
    <w:rsid w:val="00DF0AA1"/>
    <w:rsid w:val="00E72FCB"/>
    <w:rsid w:val="00EB0576"/>
    <w:rsid w:val="00FE1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B2"/>
  </w:style>
  <w:style w:type="paragraph" w:styleId="Heading1">
    <w:name w:val="heading 1"/>
    <w:basedOn w:val="Normal1"/>
    <w:next w:val="Normal1"/>
    <w:rsid w:val="00E72FCB"/>
    <w:pPr>
      <w:keepNext/>
      <w:tabs>
        <w:tab w:val="left" w:pos="14000"/>
        <w:tab w:val="left" w:pos="14400"/>
      </w:tabs>
      <w:spacing w:before="120" w:after="60"/>
      <w:ind w:left="-709"/>
      <w:jc w:val="right"/>
      <w:outlineLvl w:val="0"/>
    </w:pPr>
    <w:rPr>
      <w:b/>
      <w:color w:val="FF0000"/>
      <w:sz w:val="28"/>
      <w:szCs w:val="28"/>
    </w:rPr>
  </w:style>
  <w:style w:type="paragraph" w:styleId="Heading2">
    <w:name w:val="heading 2"/>
    <w:basedOn w:val="Normal1"/>
    <w:next w:val="Normal1"/>
    <w:rsid w:val="00E72FCB"/>
    <w:pPr>
      <w:keepNext/>
      <w:spacing w:before="240" w:after="60"/>
      <w:outlineLvl w:val="1"/>
    </w:pPr>
    <w:rPr>
      <w:b/>
      <w:i/>
    </w:rPr>
  </w:style>
  <w:style w:type="paragraph" w:styleId="Heading3">
    <w:name w:val="heading 3"/>
    <w:basedOn w:val="Normal1"/>
    <w:next w:val="Normal1"/>
    <w:rsid w:val="00E72FCB"/>
    <w:pPr>
      <w:keepNext/>
      <w:keepLines/>
      <w:spacing w:before="280" w:after="80"/>
      <w:outlineLvl w:val="2"/>
    </w:pPr>
    <w:rPr>
      <w:b/>
      <w:sz w:val="28"/>
      <w:szCs w:val="28"/>
    </w:rPr>
  </w:style>
  <w:style w:type="paragraph" w:styleId="Heading4">
    <w:name w:val="heading 4"/>
    <w:basedOn w:val="Normal1"/>
    <w:next w:val="Normal1"/>
    <w:rsid w:val="00E72FCB"/>
    <w:pPr>
      <w:keepNext/>
      <w:keepLines/>
      <w:spacing w:before="240" w:after="40"/>
      <w:outlineLvl w:val="3"/>
    </w:pPr>
    <w:rPr>
      <w:b/>
      <w:sz w:val="24"/>
      <w:szCs w:val="24"/>
    </w:rPr>
  </w:style>
  <w:style w:type="paragraph" w:styleId="Heading5">
    <w:name w:val="heading 5"/>
    <w:basedOn w:val="Normal1"/>
    <w:next w:val="Normal1"/>
    <w:rsid w:val="00E72FCB"/>
    <w:pPr>
      <w:keepNext/>
      <w:keepLines/>
      <w:spacing w:before="220" w:after="40"/>
      <w:outlineLvl w:val="4"/>
    </w:pPr>
    <w:rPr>
      <w:b/>
      <w:sz w:val="22"/>
      <w:szCs w:val="22"/>
    </w:rPr>
  </w:style>
  <w:style w:type="paragraph" w:styleId="Heading6">
    <w:name w:val="heading 6"/>
    <w:basedOn w:val="Normal1"/>
    <w:next w:val="Normal1"/>
    <w:rsid w:val="00E72FC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72FCB"/>
  </w:style>
  <w:style w:type="paragraph" w:styleId="Title">
    <w:name w:val="Title"/>
    <w:basedOn w:val="Normal1"/>
    <w:next w:val="Normal1"/>
    <w:rsid w:val="00E72FCB"/>
    <w:pPr>
      <w:jc w:val="center"/>
    </w:pPr>
    <w:rPr>
      <w:b/>
      <w:sz w:val="28"/>
      <w:szCs w:val="28"/>
    </w:rPr>
  </w:style>
  <w:style w:type="paragraph" w:styleId="Subtitle">
    <w:name w:val="Subtitle"/>
    <w:basedOn w:val="Normal1"/>
    <w:next w:val="Normal1"/>
    <w:rsid w:val="00E72FCB"/>
    <w:rPr>
      <w:b/>
    </w:rPr>
  </w:style>
  <w:style w:type="table" w:customStyle="1" w:styleId="a">
    <w:basedOn w:val="TableNormal"/>
    <w:rsid w:val="00E72FCB"/>
    <w:tblPr>
      <w:tblStyleRowBandSize w:val="1"/>
      <w:tblStyleColBandSize w:val="1"/>
      <w:tblCellMar>
        <w:left w:w="115" w:type="dxa"/>
        <w:right w:w="115" w:type="dxa"/>
      </w:tblCellMar>
    </w:tblPr>
  </w:style>
  <w:style w:type="table" w:customStyle="1" w:styleId="a0">
    <w:basedOn w:val="TableNormal"/>
    <w:rsid w:val="00E72FCB"/>
    <w:tblPr>
      <w:tblStyleRowBandSize w:val="1"/>
      <w:tblStyleColBandSize w:val="1"/>
      <w:tblCellMar>
        <w:left w:w="115" w:type="dxa"/>
        <w:right w:w="115" w:type="dxa"/>
      </w:tblCellMar>
    </w:tblPr>
  </w:style>
  <w:style w:type="table" w:customStyle="1" w:styleId="a1">
    <w:basedOn w:val="TableNormal"/>
    <w:rsid w:val="00E72FCB"/>
    <w:tblPr>
      <w:tblStyleRowBandSize w:val="1"/>
      <w:tblStyleColBandSize w:val="1"/>
      <w:tblCellMar>
        <w:left w:w="115" w:type="dxa"/>
        <w:right w:w="115" w:type="dxa"/>
      </w:tblCellMar>
    </w:tblPr>
  </w:style>
  <w:style w:type="table" w:customStyle="1" w:styleId="a2">
    <w:basedOn w:val="TableNormal"/>
    <w:rsid w:val="00E72FCB"/>
    <w:tblPr>
      <w:tblStyleRowBandSize w:val="1"/>
      <w:tblStyleColBandSize w:val="1"/>
      <w:tblCellMar>
        <w:left w:w="115" w:type="dxa"/>
        <w:right w:w="115" w:type="dxa"/>
      </w:tblCellMar>
    </w:tblPr>
  </w:style>
  <w:style w:type="table" w:customStyle="1" w:styleId="a3">
    <w:basedOn w:val="TableNormal"/>
    <w:rsid w:val="00E72FCB"/>
    <w:tblPr>
      <w:tblStyleRowBandSize w:val="1"/>
      <w:tblStyleColBandSize w:val="1"/>
      <w:tblCellMar>
        <w:left w:w="115" w:type="dxa"/>
        <w:right w:w="115" w:type="dxa"/>
      </w:tblCellMar>
    </w:tblPr>
  </w:style>
  <w:style w:type="table" w:customStyle="1" w:styleId="a4">
    <w:basedOn w:val="TableNormal"/>
    <w:rsid w:val="00E72FCB"/>
    <w:tblPr>
      <w:tblStyleRowBandSize w:val="1"/>
      <w:tblStyleColBandSize w:val="1"/>
      <w:tblCellMar>
        <w:left w:w="115" w:type="dxa"/>
        <w:right w:w="115" w:type="dxa"/>
      </w:tblCellMar>
    </w:tblPr>
  </w:style>
  <w:style w:type="table" w:customStyle="1" w:styleId="a5">
    <w:basedOn w:val="TableNormal"/>
    <w:rsid w:val="00E72FCB"/>
    <w:tblPr>
      <w:tblStyleRowBandSize w:val="1"/>
      <w:tblStyleColBandSize w:val="1"/>
      <w:tblCellMar>
        <w:left w:w="115" w:type="dxa"/>
        <w:right w:w="115" w:type="dxa"/>
      </w:tblCellMar>
    </w:tblPr>
  </w:style>
  <w:style w:type="table" w:customStyle="1" w:styleId="a6">
    <w:basedOn w:val="TableNormal"/>
    <w:rsid w:val="00E72FCB"/>
    <w:tblPr>
      <w:tblStyleRowBandSize w:val="1"/>
      <w:tblStyleColBandSize w:val="1"/>
    </w:tblPr>
  </w:style>
  <w:style w:type="table" w:customStyle="1" w:styleId="a7">
    <w:basedOn w:val="TableNormal"/>
    <w:rsid w:val="00E72FCB"/>
    <w:tblPr>
      <w:tblStyleRowBandSize w:val="1"/>
      <w:tblStyleColBandSize w:val="1"/>
      <w:tblCellMar>
        <w:left w:w="115" w:type="dxa"/>
        <w:right w:w="115" w:type="dxa"/>
      </w:tblCellMar>
    </w:tblPr>
  </w:style>
  <w:style w:type="table" w:customStyle="1" w:styleId="a8">
    <w:basedOn w:val="TableNormal"/>
    <w:rsid w:val="00E72FCB"/>
    <w:tblPr>
      <w:tblStyleRowBandSize w:val="1"/>
      <w:tblStyleColBandSize w:val="1"/>
    </w:tblPr>
  </w:style>
  <w:style w:type="paragraph" w:styleId="Header">
    <w:name w:val="header"/>
    <w:basedOn w:val="Normal"/>
    <w:link w:val="HeaderChar"/>
    <w:uiPriority w:val="99"/>
    <w:semiHidden/>
    <w:unhideWhenUsed/>
    <w:rsid w:val="00230AA5"/>
    <w:pPr>
      <w:tabs>
        <w:tab w:val="center" w:pos="4513"/>
        <w:tab w:val="right" w:pos="9026"/>
      </w:tabs>
    </w:pPr>
  </w:style>
  <w:style w:type="character" w:customStyle="1" w:styleId="HeaderChar">
    <w:name w:val="Header Char"/>
    <w:basedOn w:val="DefaultParagraphFont"/>
    <w:link w:val="Header"/>
    <w:uiPriority w:val="99"/>
    <w:semiHidden/>
    <w:rsid w:val="00230AA5"/>
  </w:style>
  <w:style w:type="paragraph" w:styleId="Footer">
    <w:name w:val="footer"/>
    <w:basedOn w:val="Normal"/>
    <w:link w:val="FooterChar"/>
    <w:uiPriority w:val="99"/>
    <w:semiHidden/>
    <w:unhideWhenUsed/>
    <w:rsid w:val="00230AA5"/>
    <w:pPr>
      <w:tabs>
        <w:tab w:val="center" w:pos="4513"/>
        <w:tab w:val="right" w:pos="9026"/>
      </w:tabs>
    </w:pPr>
  </w:style>
  <w:style w:type="character" w:customStyle="1" w:styleId="FooterChar">
    <w:name w:val="Footer Char"/>
    <w:basedOn w:val="DefaultParagraphFont"/>
    <w:link w:val="Footer"/>
    <w:uiPriority w:val="99"/>
    <w:semiHidden/>
    <w:rsid w:val="00230AA5"/>
  </w:style>
  <w:style w:type="paragraph" w:styleId="BalloonText">
    <w:name w:val="Balloon Text"/>
    <w:basedOn w:val="Normal"/>
    <w:link w:val="BalloonTextChar"/>
    <w:uiPriority w:val="99"/>
    <w:semiHidden/>
    <w:unhideWhenUsed/>
    <w:rsid w:val="00BC5776"/>
    <w:rPr>
      <w:rFonts w:ascii="Tahoma" w:hAnsi="Tahoma" w:cs="Tahoma"/>
      <w:sz w:val="16"/>
      <w:szCs w:val="16"/>
    </w:rPr>
  </w:style>
  <w:style w:type="character" w:customStyle="1" w:styleId="BalloonTextChar">
    <w:name w:val="Balloon Text Char"/>
    <w:basedOn w:val="DefaultParagraphFont"/>
    <w:link w:val="BalloonText"/>
    <w:uiPriority w:val="99"/>
    <w:semiHidden/>
    <w:rsid w:val="00BC5776"/>
    <w:rPr>
      <w:rFonts w:ascii="Tahoma" w:hAnsi="Tahoma" w:cs="Tahoma"/>
      <w:sz w:val="16"/>
      <w:szCs w:val="16"/>
    </w:rPr>
  </w:style>
  <w:style w:type="paragraph" w:styleId="NoSpacing">
    <w:name w:val="No Spacing"/>
    <w:uiPriority w:val="1"/>
    <w:qFormat/>
    <w:rsid w:val="00DF0AA1"/>
  </w:style>
  <w:style w:type="character" w:styleId="Hyperlink">
    <w:name w:val="Hyperlink"/>
    <w:basedOn w:val="DefaultParagraphFont"/>
    <w:uiPriority w:val="99"/>
    <w:semiHidden/>
    <w:unhideWhenUsed/>
    <w:rsid w:val="00AA4D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hse.gov.uk/contact/concern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BCF19-9FEA-4C6F-8F1C-6E6393B9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HomeServe</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Starling</dc:creator>
  <cp:lastModifiedBy>Mike</cp:lastModifiedBy>
  <cp:revision>2</cp:revision>
  <cp:lastPrinted>2020-05-21T10:03:00Z</cp:lastPrinted>
  <dcterms:created xsi:type="dcterms:W3CDTF">2021-04-12T16:12:00Z</dcterms:created>
  <dcterms:modified xsi:type="dcterms:W3CDTF">2021-04-12T16:12:00Z</dcterms:modified>
</cp:coreProperties>
</file>